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Звичайний (веб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  <w:sz w:val="28"/>
          <w:szCs w:val="28"/>
        </w:rPr>
      </w:pPr>
    </w:p>
    <w:p>
      <w:pPr>
        <w:pStyle w:val="Звичайний (веб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Результати проведення планових розміщень облігацій внутрішньої державної позики </w:t>
      </w:r>
      <w:r>
        <w:rPr>
          <w:b w:val="1"/>
          <w:bCs w:val="1"/>
          <w:sz w:val="28"/>
          <w:szCs w:val="28"/>
          <w:rtl w:val="0"/>
          <w:lang w:val="ru-RU"/>
        </w:rPr>
        <w:t xml:space="preserve">27 </w:t>
      </w:r>
      <w:r>
        <w:rPr>
          <w:b w:val="1"/>
          <w:bCs w:val="1"/>
          <w:sz w:val="28"/>
          <w:szCs w:val="28"/>
          <w:rtl w:val="0"/>
          <w:lang w:val="ru-RU"/>
        </w:rPr>
        <w:t xml:space="preserve">грудня </w:t>
      </w:r>
      <w:r>
        <w:rPr>
          <w:b w:val="1"/>
          <w:bCs w:val="1"/>
          <w:sz w:val="28"/>
          <w:szCs w:val="28"/>
          <w:rtl w:val="0"/>
          <w:lang w:val="ru-RU"/>
        </w:rPr>
        <w:t xml:space="preserve">2016 </w:t>
      </w:r>
      <w:r>
        <w:rPr>
          <w:b w:val="1"/>
          <w:bCs w:val="1"/>
          <w:sz w:val="28"/>
          <w:szCs w:val="28"/>
          <w:rtl w:val="0"/>
          <w:lang w:val="ru-RU"/>
        </w:rPr>
        <w:t>року</w:t>
      </w:r>
    </w:p>
    <w:p>
      <w:pPr>
        <w:pStyle w:val="Звичайний (веб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  <w:sz w:val="28"/>
          <w:szCs w:val="28"/>
        </w:rPr>
      </w:pPr>
    </w:p>
    <w:tbl>
      <w:tblPr>
        <w:tblW w:w="924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7"/>
        <w:gridCol w:w="1527"/>
        <w:gridCol w:w="1527"/>
        <w:gridCol w:w="1527"/>
        <w:gridCol w:w="1527"/>
        <w:gridCol w:w="1527"/>
      </w:tblGrid>
      <w:tr>
        <w:tblPrEx>
          <w:shd w:val="clear" w:color="auto" w:fill="ced7e7"/>
        </w:tblPrEx>
        <w:trPr>
          <w:trHeight w:val="20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Номер розміщення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2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3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2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3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7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2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3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8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2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3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9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240</w:t>
            </w:r>
          </w:p>
        </w:tc>
      </w:tr>
      <w:tr>
        <w:tblPrEx>
          <w:shd w:val="clear" w:color="auto" w:fill="ced7e7"/>
        </w:tblPrEx>
        <w:trPr>
          <w:trHeight w:val="704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Код облігацій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 Первинне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Розміщення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Дорозміщення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UA4000196034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Дорозміщення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UA4000195382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Дорозміщення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UA4000196075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Первинне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Розміщення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Номінальна вартість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1 000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1 000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1 000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1 000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1 000</w:t>
            </w:r>
          </w:p>
        </w:tc>
      </w:tr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Кількість виставлених облігацій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шт</w:t>
            </w:r>
            <w:r>
              <w:rPr>
                <w:sz w:val="16"/>
                <w:szCs w:val="16"/>
                <w:rtl w:val="0"/>
                <w:lang w:val="ru-RU"/>
              </w:rPr>
              <w:t>.)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66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Дата проведення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2</w:t>
            </w:r>
            <w:r>
              <w:rPr>
                <w:sz w:val="16"/>
                <w:szCs w:val="16"/>
                <w:rtl w:val="0"/>
                <w:lang w:val="ru-RU"/>
              </w:rPr>
              <w:t>7.12.2016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2</w:t>
            </w:r>
            <w:r>
              <w:rPr>
                <w:sz w:val="16"/>
                <w:szCs w:val="16"/>
                <w:rtl w:val="0"/>
                <w:lang w:val="ru-RU"/>
              </w:rPr>
              <w:t>7.12.2016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2</w:t>
            </w:r>
            <w:r>
              <w:rPr>
                <w:sz w:val="16"/>
                <w:szCs w:val="16"/>
                <w:rtl w:val="0"/>
                <w:lang w:val="ru-RU"/>
              </w:rPr>
              <w:t>7.12.2016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2</w:t>
            </w:r>
            <w:r>
              <w:rPr>
                <w:sz w:val="16"/>
                <w:szCs w:val="16"/>
                <w:rtl w:val="0"/>
                <w:lang w:val="ru-RU"/>
              </w:rPr>
              <w:t>7.12.2016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2</w:t>
            </w:r>
            <w:r>
              <w:rPr>
                <w:sz w:val="16"/>
                <w:szCs w:val="16"/>
                <w:rtl w:val="0"/>
                <w:lang w:val="ru-RU"/>
              </w:rPr>
              <w:t>7.12.2016</w:t>
            </w:r>
          </w:p>
        </w:tc>
      </w:tr>
      <w:tr>
        <w:tblPrEx>
          <w:shd w:val="clear" w:color="auto" w:fill="ced7e7"/>
        </w:tblPrEx>
        <w:trPr>
          <w:trHeight w:val="37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Дата оплати за придбані облігації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2</w:t>
            </w:r>
            <w:r>
              <w:rPr>
                <w:sz w:val="16"/>
                <w:szCs w:val="16"/>
                <w:rtl w:val="0"/>
                <w:lang w:val="ru-RU"/>
              </w:rPr>
              <w:t>8.12.2016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2</w:t>
            </w:r>
            <w:r>
              <w:rPr>
                <w:sz w:val="16"/>
                <w:szCs w:val="16"/>
                <w:rtl w:val="0"/>
                <w:lang w:val="ru-RU"/>
              </w:rPr>
              <w:t>8.12.2016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2</w:t>
            </w:r>
            <w:r>
              <w:rPr>
                <w:sz w:val="16"/>
                <w:szCs w:val="16"/>
                <w:rtl w:val="0"/>
                <w:lang w:val="ru-RU"/>
              </w:rPr>
              <w:t>8.12.2016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2</w:t>
            </w:r>
            <w:r>
              <w:rPr>
                <w:sz w:val="16"/>
                <w:szCs w:val="16"/>
                <w:rtl w:val="0"/>
                <w:lang w:val="ru-RU"/>
              </w:rPr>
              <w:t>8.12.2016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2</w:t>
            </w:r>
            <w:r>
              <w:rPr>
                <w:sz w:val="16"/>
                <w:szCs w:val="16"/>
                <w:rtl w:val="0"/>
                <w:lang w:val="ru-RU"/>
              </w:rPr>
              <w:t>8.12.2016</w:t>
            </w:r>
          </w:p>
        </w:tc>
      </w:tr>
      <w:tr>
        <w:tblPrEx>
          <w:shd w:val="clear" w:color="auto" w:fill="ced7e7"/>
        </w:tblPrEx>
        <w:trPr>
          <w:trHeight w:val="2159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Терміни сплати відсотків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ru-RU"/>
              </w:rPr>
              <w:t>28.06.2017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ru-RU"/>
              </w:rPr>
              <w:t>27.12.2017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ru-RU"/>
              </w:rPr>
              <w:t>27.06.2018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26.12.2018</w:t>
            </w:r>
          </w:p>
        </w:tc>
      </w:tr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Розмір купонного платежу на одну облігацію 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</w:t>
            </w:r>
          </w:p>
        </w:tc>
      </w:tr>
      <w:tr>
        <w:tblPrEx>
          <w:shd w:val="clear" w:color="auto" w:fill="ced7e7"/>
        </w:tblPrEx>
        <w:trPr>
          <w:trHeight w:val="37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Номінальний рівень дохідності </w:t>
            </w:r>
            <w:r>
              <w:rPr>
                <w:sz w:val="16"/>
                <w:szCs w:val="16"/>
                <w:rtl w:val="0"/>
                <w:lang w:val="ru-RU"/>
              </w:rPr>
              <w:t>(%)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15,10%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15,20%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15,30%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</w:t>
            </w:r>
            <w:r>
              <w:rPr>
                <w:sz w:val="16"/>
                <w:szCs w:val="16"/>
                <w:rtl w:val="0"/>
                <w:lang w:val="en-US"/>
              </w:rPr>
              <w:t>0%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Термін обігу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дн</w:t>
            </w:r>
            <w:r>
              <w:rPr>
                <w:sz w:val="16"/>
                <w:szCs w:val="16"/>
                <w:rtl w:val="0"/>
                <w:lang w:val="ru-RU"/>
              </w:rPr>
              <w:t>.)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91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161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266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343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72</w:t>
            </w:r>
            <w:r>
              <w:rPr>
                <w:sz w:val="16"/>
                <w:szCs w:val="16"/>
                <w:rtl w:val="0"/>
                <w:lang w:val="ru-RU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Термін погашення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29.03.2017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07.06.2017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20.09.2017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06.12.2017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26.12.2018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ru-RU"/>
              </w:rPr>
              <w:t>Обсяг поданих заявок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за номінальною вартістю</w:t>
            </w:r>
            <w:r>
              <w:rPr>
                <w:sz w:val="16"/>
                <w:szCs w:val="16"/>
                <w:rtl w:val="0"/>
                <w:lang w:val="ru-RU"/>
              </w:rPr>
              <w:t>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150</w:t>
            </w:r>
            <w:r>
              <w:rPr>
                <w:sz w:val="16"/>
                <w:szCs w:val="16"/>
                <w:rtl w:val="0"/>
                <w:lang w:val="ru-RU"/>
              </w:rPr>
              <w:t> </w:t>
            </w:r>
            <w:r>
              <w:rPr>
                <w:sz w:val="16"/>
                <w:szCs w:val="16"/>
                <w:rtl w:val="0"/>
                <w:lang w:val="ru-RU"/>
              </w:rPr>
              <w:t>000 000,00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ru-RU"/>
              </w:rPr>
              <w:t>Обсяг задоволених заявок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за номінальною вартістю</w:t>
            </w:r>
            <w:r>
              <w:rPr>
                <w:sz w:val="16"/>
                <w:szCs w:val="16"/>
                <w:rtl w:val="0"/>
                <w:lang w:val="ru-RU"/>
              </w:rPr>
              <w:t>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Загальний обсяг випуску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за номінальною вартістю</w:t>
            </w:r>
            <w:r>
              <w:rPr>
                <w:sz w:val="16"/>
                <w:szCs w:val="16"/>
                <w:rtl w:val="0"/>
                <w:lang w:val="ru-RU"/>
              </w:rPr>
              <w:t xml:space="preserve">) 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10</w:t>
            </w:r>
            <w:r>
              <w:rPr>
                <w:sz w:val="16"/>
                <w:szCs w:val="16"/>
                <w:rtl w:val="0"/>
                <w:lang w:val="ru-RU"/>
              </w:rPr>
              <w:t> </w:t>
            </w:r>
            <w:r>
              <w:rPr>
                <w:sz w:val="16"/>
                <w:szCs w:val="16"/>
                <w:rtl w:val="0"/>
                <w:lang w:val="ru-RU"/>
              </w:rPr>
              <w:t>000 000,00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168 000 000,00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510 000 000,00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Кількість поданих заявок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шт</w:t>
            </w:r>
            <w:r>
              <w:rPr>
                <w:sz w:val="16"/>
                <w:szCs w:val="16"/>
                <w:rtl w:val="0"/>
                <w:lang w:val="ru-RU"/>
              </w:rPr>
              <w:t>.)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Кількість задоволених заявок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шт</w:t>
            </w:r>
            <w:r>
              <w:rPr>
                <w:sz w:val="16"/>
                <w:szCs w:val="16"/>
                <w:rtl w:val="0"/>
                <w:lang w:val="ru-RU"/>
              </w:rPr>
              <w:t>.)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Максимальний рівень дохідності облігацій </w:t>
            </w:r>
            <w:r>
              <w:rPr>
                <w:sz w:val="16"/>
                <w:szCs w:val="16"/>
                <w:rtl w:val="0"/>
                <w:lang w:val="ru-RU"/>
              </w:rPr>
              <w:t>(%)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16,00%</w:t>
            </w:r>
          </w:p>
        </w:tc>
      </w:tr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Мінімальний рівень дохідності облігацій </w:t>
            </w:r>
            <w:r>
              <w:rPr>
                <w:sz w:val="16"/>
                <w:szCs w:val="16"/>
                <w:rtl w:val="0"/>
                <w:lang w:val="ru-RU"/>
              </w:rPr>
              <w:t>(%)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16,00%</w:t>
            </w:r>
          </w:p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Встановлений рівень дохідності </w:t>
            </w:r>
            <w:r>
              <w:rPr>
                <w:sz w:val="16"/>
                <w:szCs w:val="16"/>
                <w:rtl w:val="0"/>
                <w:lang w:val="ru-RU"/>
              </w:rPr>
              <w:t>(%)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0,00%</w:t>
            </w:r>
          </w:p>
        </w:tc>
      </w:tr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Середньозважений рівень дохідності </w:t>
            </w:r>
            <w:r>
              <w:rPr>
                <w:sz w:val="16"/>
                <w:szCs w:val="16"/>
                <w:rtl w:val="0"/>
                <w:lang w:val="ru-RU"/>
              </w:rPr>
              <w:t>(%)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0,00%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Залучено коштів до Державного бюджету від продажу облігацій 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0,00</w:t>
            </w:r>
          </w:p>
        </w:tc>
      </w:tr>
    </w:tbl>
    <w:p>
      <w:pPr>
        <w:pStyle w:val="Звичайний (веб)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" w:hanging="108"/>
        <w:jc w:val="center"/>
        <w:rPr>
          <w:b w:val="1"/>
          <w:bCs w:val="1"/>
          <w:sz w:val="28"/>
          <w:szCs w:val="28"/>
        </w:rPr>
      </w:pPr>
    </w:p>
    <w:p>
      <w:pPr>
        <w:pStyle w:val="Звичайний (веб)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  <w:sz w:val="28"/>
          <w:szCs w:val="28"/>
        </w:rPr>
      </w:pPr>
    </w:p>
    <w:p>
      <w:pPr>
        <w:pStyle w:val="Звичайний"/>
      </w:pPr>
    </w:p>
    <w:p>
      <w:pPr>
        <w:pStyle w:val="Звичайний"/>
      </w:pPr>
    </w:p>
    <w:p>
      <w:pPr>
        <w:pStyle w:val="Звичайн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Звичайний (веб)">
    <w:name w:val="Звичайний (веб)"/>
    <w:next w:val="Звичайни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Звичайний">
    <w:name w:val="Звичайний"/>
    <w:next w:val="Звичайн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